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B9AC5"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b/>
          <w:bCs/>
          <w:color w:val="000000"/>
          <w:kern w:val="0"/>
          <w:sz w:val="44"/>
          <w:szCs w:val="44"/>
          <w:u w:val="single"/>
          <w:lang w:eastAsia="ru-RU"/>
          <w14:ligatures w14:val="none"/>
        </w:rPr>
        <w:t>ПРОКУРАТУРА ИНФОРМИРУЕТ.</w:t>
      </w:r>
    </w:p>
    <w:p w14:paraId="25FD4A24"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b/>
          <w:bCs/>
          <w:i/>
          <w:iCs/>
          <w:color w:val="000000"/>
          <w:kern w:val="0"/>
          <w:sz w:val="36"/>
          <w:szCs w:val="36"/>
          <w:u w:val="single"/>
          <w:lang w:eastAsia="ru-RU"/>
          <w14:ligatures w14:val="none"/>
        </w:rPr>
        <w:t>Ответственность за поджог релейных шкафов на железнодорожном транспорте.</w:t>
      </w:r>
    </w:p>
    <w:p w14:paraId="01120100"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2ABD2023"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Segoe UI Emoji" w:eastAsia="Times New Roman" w:hAnsi="Segoe UI Emoji" w:cs="Segoe UI Emoji"/>
          <w:color w:val="000000"/>
          <w:kern w:val="0"/>
          <w:sz w:val="24"/>
          <w:szCs w:val="24"/>
          <w:lang w:eastAsia="ru-RU"/>
          <w14:ligatures w14:val="none"/>
        </w:rPr>
        <w:t>🚉</w:t>
      </w:r>
      <w:r w:rsidRPr="00DA1EB2">
        <w:rPr>
          <w:rFonts w:ascii="Calibri" w:eastAsia="Times New Roman" w:hAnsi="Calibri" w:cs="Calibri"/>
          <w:color w:val="000000"/>
          <w:kern w:val="0"/>
          <w:sz w:val="24"/>
          <w:szCs w:val="24"/>
          <w:lang w:eastAsia="ru-RU"/>
          <w14:ligatures w14:val="none"/>
        </w:rPr>
        <w:t xml:space="preserve">Поджог релейных шкафов на железнодорожном транспорте </w:t>
      </w:r>
      <w:proofErr w:type="gramStart"/>
      <w:r w:rsidRPr="00DA1EB2">
        <w:rPr>
          <w:rFonts w:ascii="Calibri" w:eastAsia="Times New Roman" w:hAnsi="Calibri" w:cs="Calibri"/>
          <w:color w:val="000000"/>
          <w:kern w:val="0"/>
          <w:sz w:val="24"/>
          <w:szCs w:val="24"/>
          <w:lang w:eastAsia="ru-RU"/>
          <w14:ligatures w14:val="none"/>
        </w:rPr>
        <w:t>- это</w:t>
      </w:r>
      <w:proofErr w:type="gramEnd"/>
      <w:r w:rsidRPr="00DA1EB2">
        <w:rPr>
          <w:rFonts w:ascii="Calibri" w:eastAsia="Times New Roman" w:hAnsi="Calibri" w:cs="Calibri"/>
          <w:color w:val="000000"/>
          <w:kern w:val="0"/>
          <w:sz w:val="24"/>
          <w:szCs w:val="24"/>
          <w:lang w:eastAsia="ru-RU"/>
          <w14:ligatures w14:val="none"/>
        </w:rPr>
        <w:t xml:space="preserve"> крайне опасное деяние, которое квалифицируется как серьезное преступление с суровым наказанием.</w:t>
      </w:r>
    </w:p>
    <w:p w14:paraId="3486AEF7"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Поджог релейных шкафов может привести к катастрофическим последствиям, включая:</w:t>
      </w:r>
    </w:p>
    <w:p w14:paraId="2DF30D50"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 крушение поездов (пассажирских и грузовых);</w:t>
      </w:r>
    </w:p>
    <w:p w14:paraId="60529482"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 травмы и гибель людей;</w:t>
      </w:r>
    </w:p>
    <w:p w14:paraId="5B182AA3"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 значительный материальный ущерб;</w:t>
      </w:r>
    </w:p>
    <w:p w14:paraId="4928847C"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 нарушение графика движения.</w:t>
      </w:r>
    </w:p>
    <w:p w14:paraId="326F57A6"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74824388"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b/>
          <w:bCs/>
          <w:color w:val="000000"/>
          <w:kern w:val="0"/>
          <w:sz w:val="24"/>
          <w:szCs w:val="24"/>
          <w:u w:val="single"/>
          <w:lang w:eastAsia="ru-RU"/>
          <w14:ligatures w14:val="none"/>
        </w:rPr>
        <w:t>Нормативно-правовая база и ответственность.</w:t>
      </w:r>
    </w:p>
    <w:p w14:paraId="4465BC81"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Поджог релейных шкафов на ж/д транспорте подпадает под действие нескольких статей Уголовного кодекса Российской Федерации (далее -УК РФ), а также может быть квалифицирован как террористический акт в зависимости от целей и мотивов преступления.</w:t>
      </w:r>
    </w:p>
    <w:p w14:paraId="0DFD83B2"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51B20D8B"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Статья 267 УК РФ Приведение в негодность транспортных средств или путей сообщения - основная статья, по которой квалифицируют подобные действия. Поджог релейного шкафа напрямую относится к приведению в негодность объектов транспортной инфраструктуры.</w:t>
      </w:r>
    </w:p>
    <w:p w14:paraId="36BE6B15"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421ED973"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В зависимости от тяжести последствий, наказание по статье 267 УК РФ может варьироваться.</w:t>
      </w:r>
    </w:p>
    <w:p w14:paraId="3488DBEE"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016A1A6C"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Если действия, предусмотренные статьей, повлекли по неосторожности причинение тяжкого вреда здоровью человека либо причинение крупного ущерба (ч. 4 ст. 267 УК РФ) виновному грозит:</w:t>
      </w:r>
    </w:p>
    <w:p w14:paraId="5E84565B"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 штраф в размере от четырехсот тысяч до семисот тысяч рублей или в размере заработной платы или иного дохода осужденного за период от трех до четырех лет;</w:t>
      </w:r>
    </w:p>
    <w:p w14:paraId="15F1D8F3"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 обязательные работы на срок до четырехсот пятидесяти часов,</w:t>
      </w:r>
    </w:p>
    <w:p w14:paraId="7A1C92D4"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 принудительные работы на срок до четырех лет, либо лишение свободы на тот же срок.</w:t>
      </w:r>
    </w:p>
    <w:p w14:paraId="3539C3D4"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Если действия повлекли по неосторожности смерть человека (ч. 5 ст. 267 УК РФ) наказание становится значительно строже и предусматривает лишение свободы на срок до пяти лет.</w:t>
      </w:r>
    </w:p>
    <w:p w14:paraId="041A7CC1"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07309856"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В случае, если действия, предусмотренные статьей, повлекли по неосторожности смерть двух или более лиц, предусмотрено самое суровое наказание в виде лишения свободы на срок до десяти лет.</w:t>
      </w:r>
    </w:p>
    <w:p w14:paraId="6E50D2C3"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2DB27389"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b/>
          <w:bCs/>
          <w:i/>
          <w:iCs/>
          <w:color w:val="000000"/>
          <w:kern w:val="0"/>
          <w:sz w:val="24"/>
          <w:szCs w:val="24"/>
          <w:u w:val="single"/>
          <w:lang w:eastAsia="ru-RU"/>
          <w14:ligatures w14:val="none"/>
        </w:rPr>
        <w:t>Статья 205 УК РФ террористический акт.</w:t>
      </w:r>
    </w:p>
    <w:p w14:paraId="32070971"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5301F024"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Если поджог релейного шкафа совершен с целью дестабилизации деятельности органов власти или международных организаций либо воздействия на принятие ими решений, он может быть квалифицирован как террористический акт (далее - теракт).</w:t>
      </w:r>
    </w:p>
    <w:p w14:paraId="0C6688D9"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lastRenderedPageBreak/>
        <w:t>Наказание за совершение теракта в зависимости от тяжести последствий предусматривает лишение свободы на срок от десяти до двадцати лет с ограничением свободы на срок от одного года до двух лет или пожизненное лишение свободы.</w:t>
      </w:r>
    </w:p>
    <w:p w14:paraId="549C924C"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15A5408F"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b/>
          <w:bCs/>
          <w:i/>
          <w:iCs/>
          <w:color w:val="000000"/>
          <w:kern w:val="0"/>
          <w:sz w:val="24"/>
          <w:szCs w:val="24"/>
          <w:u w:val="single"/>
          <w:lang w:eastAsia="ru-RU"/>
          <w14:ligatures w14:val="none"/>
        </w:rPr>
        <w:t>Статья 281 УК РФ Диверсия</w:t>
      </w:r>
    </w:p>
    <w:p w14:paraId="7FAA6458"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46D87F3A"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Если поджог релейного шкафа совершен с целью подрыва экономической безопасности и обороноспособности Российской Федерации, он может быть квалифицирован как диверсия.</w:t>
      </w:r>
    </w:p>
    <w:p w14:paraId="7A95A643"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Наказание за диверсию предусматривает лишение свободы на срок от десяти до двадцати лет. Если вышеуказанные действия повлекли умышленное причинение смерти человека, то предусмотрено наказание на срок от 15 до 20 лет или пожизненное лишение свободы.</w:t>
      </w:r>
    </w:p>
    <w:p w14:paraId="5A186282"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7487ECF7"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b/>
          <w:bCs/>
          <w:i/>
          <w:iCs/>
          <w:color w:val="000000"/>
          <w:kern w:val="0"/>
          <w:sz w:val="24"/>
          <w:szCs w:val="24"/>
          <w:u w:val="single"/>
          <w:lang w:eastAsia="ru-RU"/>
          <w14:ligatures w14:val="none"/>
        </w:rPr>
        <w:t>Возраст ответственности.</w:t>
      </w:r>
    </w:p>
    <w:p w14:paraId="1D9AB479"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Необходимо отметить, что уголовная ответственность за совершение теракта (ст. 205 УК РФ), а также за приведение в негодность транспортных средств (ст. 267 УК РФ) наступает с 14 лет.</w:t>
      </w:r>
    </w:p>
    <w:p w14:paraId="530A396F"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Уголовная ответственность за диверсию (ст. 281 УК РФ) наступает с 16 лет.</w:t>
      </w:r>
    </w:p>
    <w:p w14:paraId="4A4A28FF"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p>
    <w:p w14:paraId="1A139807"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Поджог релейных шкафов на железнодорожном транспорте это не только серьезное преступление с суровым наказанием, но и акт, который может привести к человеческим жертвам.</w:t>
      </w:r>
    </w:p>
    <w:p w14:paraId="7CBC12C4" w14:textId="77777777" w:rsidR="00DA1EB2" w:rsidRPr="00DA1EB2" w:rsidRDefault="00DA1EB2" w:rsidP="00DA1EB2">
      <w:pPr>
        <w:shd w:val="clear" w:color="auto" w:fill="FFFFFF"/>
        <w:spacing w:after="0" w:line="240" w:lineRule="auto"/>
        <w:rPr>
          <w:rFonts w:ascii="Calibri" w:eastAsia="Times New Roman" w:hAnsi="Calibri" w:cs="Calibri"/>
          <w:color w:val="000000"/>
          <w:kern w:val="0"/>
          <w:sz w:val="24"/>
          <w:szCs w:val="24"/>
          <w:lang w:eastAsia="ru-RU"/>
          <w14:ligatures w14:val="none"/>
        </w:rPr>
      </w:pPr>
      <w:r w:rsidRPr="00DA1EB2">
        <w:rPr>
          <w:rFonts w:ascii="Calibri" w:eastAsia="Times New Roman" w:hAnsi="Calibri" w:cs="Calibri"/>
          <w:color w:val="000000"/>
          <w:kern w:val="0"/>
          <w:sz w:val="24"/>
          <w:szCs w:val="24"/>
          <w:lang w:eastAsia="ru-RU"/>
          <w14:ligatures w14:val="none"/>
        </w:rPr>
        <w:t>В случае подозрительной деятельности необходимо незамедлительно обращаться в правоохранительные органы!</w:t>
      </w:r>
    </w:p>
    <w:p w14:paraId="1052D84F" w14:textId="66FE87A8" w:rsidR="005E1BBA" w:rsidRDefault="00DA1EB2">
      <w:bookmarkStart w:id="0" w:name="_GoBack"/>
      <w:bookmarkEnd w:id="0"/>
      <w:r>
        <w:rPr>
          <w:noProof/>
        </w:rPr>
        <w:drawing>
          <wp:inline distT="0" distB="0" distL="0" distR="0" wp14:anchorId="3E468E8D" wp14:editId="01424931">
            <wp:extent cx="5934075" cy="3933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4075" cy="3933825"/>
                    </a:xfrm>
                    <a:prstGeom prst="rect">
                      <a:avLst/>
                    </a:prstGeom>
                    <a:noFill/>
                    <a:ln>
                      <a:noFill/>
                    </a:ln>
                  </pic:spPr>
                </pic:pic>
              </a:graphicData>
            </a:graphic>
          </wp:inline>
        </w:drawing>
      </w:r>
    </w:p>
    <w:sectPr w:rsidR="005E1B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ACB"/>
    <w:rsid w:val="00403ACB"/>
    <w:rsid w:val="00413E60"/>
    <w:rsid w:val="005E1BBA"/>
    <w:rsid w:val="00DA1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1CDF5-C405-4A0B-A0BE-620AC211A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092919">
      <w:bodyDiv w:val="1"/>
      <w:marLeft w:val="0"/>
      <w:marRight w:val="0"/>
      <w:marTop w:val="0"/>
      <w:marBottom w:val="0"/>
      <w:divBdr>
        <w:top w:val="none" w:sz="0" w:space="0" w:color="auto"/>
        <w:left w:val="none" w:sz="0" w:space="0" w:color="auto"/>
        <w:bottom w:val="none" w:sz="0" w:space="0" w:color="auto"/>
        <w:right w:val="none" w:sz="0" w:space="0" w:color="auto"/>
      </w:divBdr>
      <w:divsChild>
        <w:div w:id="1814515674">
          <w:marLeft w:val="0"/>
          <w:marRight w:val="0"/>
          <w:marTop w:val="0"/>
          <w:marBottom w:val="0"/>
          <w:divBdr>
            <w:top w:val="none" w:sz="0" w:space="0" w:color="auto"/>
            <w:left w:val="none" w:sz="0" w:space="0" w:color="auto"/>
            <w:bottom w:val="none" w:sz="0" w:space="0" w:color="auto"/>
            <w:right w:val="none" w:sz="0" w:space="0" w:color="auto"/>
          </w:divBdr>
        </w:div>
        <w:div w:id="697125515">
          <w:marLeft w:val="0"/>
          <w:marRight w:val="0"/>
          <w:marTop w:val="0"/>
          <w:marBottom w:val="0"/>
          <w:divBdr>
            <w:top w:val="none" w:sz="0" w:space="0" w:color="auto"/>
            <w:left w:val="none" w:sz="0" w:space="0" w:color="auto"/>
            <w:bottom w:val="none" w:sz="0" w:space="0" w:color="auto"/>
            <w:right w:val="none" w:sz="0" w:space="0" w:color="auto"/>
          </w:divBdr>
          <w:divsChild>
            <w:div w:id="1955019944">
              <w:marLeft w:val="0"/>
              <w:marRight w:val="0"/>
              <w:marTop w:val="0"/>
              <w:marBottom w:val="0"/>
              <w:divBdr>
                <w:top w:val="none" w:sz="0" w:space="0" w:color="auto"/>
                <w:left w:val="none" w:sz="0" w:space="0" w:color="auto"/>
                <w:bottom w:val="none" w:sz="0" w:space="0" w:color="auto"/>
                <w:right w:val="none" w:sz="0" w:space="0" w:color="auto"/>
              </w:divBdr>
            </w:div>
            <w:div w:id="92677256">
              <w:marLeft w:val="0"/>
              <w:marRight w:val="0"/>
              <w:marTop w:val="0"/>
              <w:marBottom w:val="0"/>
              <w:divBdr>
                <w:top w:val="none" w:sz="0" w:space="0" w:color="auto"/>
                <w:left w:val="none" w:sz="0" w:space="0" w:color="auto"/>
                <w:bottom w:val="none" w:sz="0" w:space="0" w:color="auto"/>
                <w:right w:val="none" w:sz="0" w:space="0" w:color="auto"/>
              </w:divBdr>
            </w:div>
            <w:div w:id="1964532643">
              <w:marLeft w:val="0"/>
              <w:marRight w:val="0"/>
              <w:marTop w:val="0"/>
              <w:marBottom w:val="0"/>
              <w:divBdr>
                <w:top w:val="none" w:sz="0" w:space="0" w:color="auto"/>
                <w:left w:val="none" w:sz="0" w:space="0" w:color="auto"/>
                <w:bottom w:val="none" w:sz="0" w:space="0" w:color="auto"/>
                <w:right w:val="none" w:sz="0" w:space="0" w:color="auto"/>
              </w:divBdr>
            </w:div>
            <w:div w:id="213853538">
              <w:marLeft w:val="0"/>
              <w:marRight w:val="0"/>
              <w:marTop w:val="0"/>
              <w:marBottom w:val="0"/>
              <w:divBdr>
                <w:top w:val="none" w:sz="0" w:space="0" w:color="auto"/>
                <w:left w:val="none" w:sz="0" w:space="0" w:color="auto"/>
                <w:bottom w:val="none" w:sz="0" w:space="0" w:color="auto"/>
                <w:right w:val="none" w:sz="0" w:space="0" w:color="auto"/>
              </w:divBdr>
            </w:div>
            <w:div w:id="698773326">
              <w:marLeft w:val="0"/>
              <w:marRight w:val="0"/>
              <w:marTop w:val="0"/>
              <w:marBottom w:val="0"/>
              <w:divBdr>
                <w:top w:val="none" w:sz="0" w:space="0" w:color="auto"/>
                <w:left w:val="none" w:sz="0" w:space="0" w:color="auto"/>
                <w:bottom w:val="none" w:sz="0" w:space="0" w:color="auto"/>
                <w:right w:val="none" w:sz="0" w:space="0" w:color="auto"/>
              </w:divBdr>
            </w:div>
            <w:div w:id="1026296521">
              <w:marLeft w:val="0"/>
              <w:marRight w:val="0"/>
              <w:marTop w:val="0"/>
              <w:marBottom w:val="0"/>
              <w:divBdr>
                <w:top w:val="none" w:sz="0" w:space="0" w:color="auto"/>
                <w:left w:val="none" w:sz="0" w:space="0" w:color="auto"/>
                <w:bottom w:val="none" w:sz="0" w:space="0" w:color="auto"/>
                <w:right w:val="none" w:sz="0" w:space="0" w:color="auto"/>
              </w:divBdr>
            </w:div>
            <w:div w:id="1184782252">
              <w:marLeft w:val="0"/>
              <w:marRight w:val="0"/>
              <w:marTop w:val="0"/>
              <w:marBottom w:val="0"/>
              <w:divBdr>
                <w:top w:val="none" w:sz="0" w:space="0" w:color="auto"/>
                <w:left w:val="none" w:sz="0" w:space="0" w:color="auto"/>
                <w:bottom w:val="none" w:sz="0" w:space="0" w:color="auto"/>
                <w:right w:val="none" w:sz="0" w:space="0" w:color="auto"/>
              </w:divBdr>
            </w:div>
            <w:div w:id="2030990115">
              <w:marLeft w:val="0"/>
              <w:marRight w:val="0"/>
              <w:marTop w:val="0"/>
              <w:marBottom w:val="0"/>
              <w:divBdr>
                <w:top w:val="none" w:sz="0" w:space="0" w:color="auto"/>
                <w:left w:val="none" w:sz="0" w:space="0" w:color="auto"/>
                <w:bottom w:val="none" w:sz="0" w:space="0" w:color="auto"/>
                <w:right w:val="none" w:sz="0" w:space="0" w:color="auto"/>
              </w:divBdr>
            </w:div>
            <w:div w:id="884563221">
              <w:marLeft w:val="0"/>
              <w:marRight w:val="0"/>
              <w:marTop w:val="0"/>
              <w:marBottom w:val="0"/>
              <w:divBdr>
                <w:top w:val="none" w:sz="0" w:space="0" w:color="auto"/>
                <w:left w:val="none" w:sz="0" w:space="0" w:color="auto"/>
                <w:bottom w:val="none" w:sz="0" w:space="0" w:color="auto"/>
                <w:right w:val="none" w:sz="0" w:space="0" w:color="auto"/>
              </w:divBdr>
            </w:div>
            <w:div w:id="63529264">
              <w:marLeft w:val="0"/>
              <w:marRight w:val="0"/>
              <w:marTop w:val="0"/>
              <w:marBottom w:val="0"/>
              <w:divBdr>
                <w:top w:val="none" w:sz="0" w:space="0" w:color="auto"/>
                <w:left w:val="none" w:sz="0" w:space="0" w:color="auto"/>
                <w:bottom w:val="none" w:sz="0" w:space="0" w:color="auto"/>
                <w:right w:val="none" w:sz="0" w:space="0" w:color="auto"/>
              </w:divBdr>
            </w:div>
            <w:div w:id="506479797">
              <w:marLeft w:val="0"/>
              <w:marRight w:val="0"/>
              <w:marTop w:val="0"/>
              <w:marBottom w:val="0"/>
              <w:divBdr>
                <w:top w:val="none" w:sz="0" w:space="0" w:color="auto"/>
                <w:left w:val="none" w:sz="0" w:space="0" w:color="auto"/>
                <w:bottom w:val="none" w:sz="0" w:space="0" w:color="auto"/>
                <w:right w:val="none" w:sz="0" w:space="0" w:color="auto"/>
              </w:divBdr>
            </w:div>
            <w:div w:id="1613781915">
              <w:marLeft w:val="0"/>
              <w:marRight w:val="0"/>
              <w:marTop w:val="0"/>
              <w:marBottom w:val="0"/>
              <w:divBdr>
                <w:top w:val="none" w:sz="0" w:space="0" w:color="auto"/>
                <w:left w:val="none" w:sz="0" w:space="0" w:color="auto"/>
                <w:bottom w:val="none" w:sz="0" w:space="0" w:color="auto"/>
                <w:right w:val="none" w:sz="0" w:space="0" w:color="auto"/>
              </w:divBdr>
            </w:div>
            <w:div w:id="1550216568">
              <w:marLeft w:val="0"/>
              <w:marRight w:val="0"/>
              <w:marTop w:val="0"/>
              <w:marBottom w:val="0"/>
              <w:divBdr>
                <w:top w:val="none" w:sz="0" w:space="0" w:color="auto"/>
                <w:left w:val="none" w:sz="0" w:space="0" w:color="auto"/>
                <w:bottom w:val="none" w:sz="0" w:space="0" w:color="auto"/>
                <w:right w:val="none" w:sz="0" w:space="0" w:color="auto"/>
              </w:divBdr>
            </w:div>
            <w:div w:id="957108598">
              <w:marLeft w:val="0"/>
              <w:marRight w:val="0"/>
              <w:marTop w:val="0"/>
              <w:marBottom w:val="0"/>
              <w:divBdr>
                <w:top w:val="none" w:sz="0" w:space="0" w:color="auto"/>
                <w:left w:val="none" w:sz="0" w:space="0" w:color="auto"/>
                <w:bottom w:val="none" w:sz="0" w:space="0" w:color="auto"/>
                <w:right w:val="none" w:sz="0" w:space="0" w:color="auto"/>
              </w:divBdr>
            </w:div>
            <w:div w:id="844711081">
              <w:marLeft w:val="0"/>
              <w:marRight w:val="0"/>
              <w:marTop w:val="0"/>
              <w:marBottom w:val="0"/>
              <w:divBdr>
                <w:top w:val="none" w:sz="0" w:space="0" w:color="auto"/>
                <w:left w:val="none" w:sz="0" w:space="0" w:color="auto"/>
                <w:bottom w:val="none" w:sz="0" w:space="0" w:color="auto"/>
                <w:right w:val="none" w:sz="0" w:space="0" w:color="auto"/>
              </w:divBdr>
            </w:div>
            <w:div w:id="446126339">
              <w:marLeft w:val="0"/>
              <w:marRight w:val="0"/>
              <w:marTop w:val="0"/>
              <w:marBottom w:val="0"/>
              <w:divBdr>
                <w:top w:val="none" w:sz="0" w:space="0" w:color="auto"/>
                <w:left w:val="none" w:sz="0" w:space="0" w:color="auto"/>
                <w:bottom w:val="none" w:sz="0" w:space="0" w:color="auto"/>
                <w:right w:val="none" w:sz="0" w:space="0" w:color="auto"/>
              </w:divBdr>
            </w:div>
            <w:div w:id="1679388616">
              <w:marLeft w:val="0"/>
              <w:marRight w:val="0"/>
              <w:marTop w:val="0"/>
              <w:marBottom w:val="0"/>
              <w:divBdr>
                <w:top w:val="none" w:sz="0" w:space="0" w:color="auto"/>
                <w:left w:val="none" w:sz="0" w:space="0" w:color="auto"/>
                <w:bottom w:val="none" w:sz="0" w:space="0" w:color="auto"/>
                <w:right w:val="none" w:sz="0" w:space="0" w:color="auto"/>
              </w:divBdr>
            </w:div>
            <w:div w:id="1668703399">
              <w:marLeft w:val="0"/>
              <w:marRight w:val="0"/>
              <w:marTop w:val="0"/>
              <w:marBottom w:val="0"/>
              <w:divBdr>
                <w:top w:val="none" w:sz="0" w:space="0" w:color="auto"/>
                <w:left w:val="none" w:sz="0" w:space="0" w:color="auto"/>
                <w:bottom w:val="none" w:sz="0" w:space="0" w:color="auto"/>
                <w:right w:val="none" w:sz="0" w:space="0" w:color="auto"/>
              </w:divBdr>
            </w:div>
            <w:div w:id="2092198162">
              <w:marLeft w:val="0"/>
              <w:marRight w:val="0"/>
              <w:marTop w:val="0"/>
              <w:marBottom w:val="0"/>
              <w:divBdr>
                <w:top w:val="none" w:sz="0" w:space="0" w:color="auto"/>
                <w:left w:val="none" w:sz="0" w:space="0" w:color="auto"/>
                <w:bottom w:val="none" w:sz="0" w:space="0" w:color="auto"/>
                <w:right w:val="none" w:sz="0" w:space="0" w:color="auto"/>
              </w:divBdr>
            </w:div>
            <w:div w:id="1852061794">
              <w:marLeft w:val="0"/>
              <w:marRight w:val="0"/>
              <w:marTop w:val="0"/>
              <w:marBottom w:val="0"/>
              <w:divBdr>
                <w:top w:val="none" w:sz="0" w:space="0" w:color="auto"/>
                <w:left w:val="none" w:sz="0" w:space="0" w:color="auto"/>
                <w:bottom w:val="none" w:sz="0" w:space="0" w:color="auto"/>
                <w:right w:val="none" w:sz="0" w:space="0" w:color="auto"/>
              </w:divBdr>
            </w:div>
            <w:div w:id="821392970">
              <w:marLeft w:val="0"/>
              <w:marRight w:val="0"/>
              <w:marTop w:val="0"/>
              <w:marBottom w:val="0"/>
              <w:divBdr>
                <w:top w:val="none" w:sz="0" w:space="0" w:color="auto"/>
                <w:left w:val="none" w:sz="0" w:space="0" w:color="auto"/>
                <w:bottom w:val="none" w:sz="0" w:space="0" w:color="auto"/>
                <w:right w:val="none" w:sz="0" w:space="0" w:color="auto"/>
              </w:divBdr>
            </w:div>
          </w:divsChild>
        </w:div>
        <w:div w:id="1899587924">
          <w:marLeft w:val="0"/>
          <w:marRight w:val="0"/>
          <w:marTop w:val="0"/>
          <w:marBottom w:val="0"/>
          <w:divBdr>
            <w:top w:val="none" w:sz="0" w:space="0" w:color="auto"/>
            <w:left w:val="none" w:sz="0" w:space="0" w:color="auto"/>
            <w:bottom w:val="none" w:sz="0" w:space="0" w:color="auto"/>
            <w:right w:val="none" w:sz="0" w:space="0" w:color="auto"/>
          </w:divBdr>
          <w:divsChild>
            <w:div w:id="1644232981">
              <w:marLeft w:val="0"/>
              <w:marRight w:val="0"/>
              <w:marTop w:val="0"/>
              <w:marBottom w:val="0"/>
              <w:divBdr>
                <w:top w:val="none" w:sz="0" w:space="0" w:color="auto"/>
                <w:left w:val="none" w:sz="0" w:space="0" w:color="auto"/>
                <w:bottom w:val="none" w:sz="0" w:space="0" w:color="auto"/>
                <w:right w:val="none" w:sz="0" w:space="0" w:color="auto"/>
              </w:divBdr>
            </w:div>
            <w:div w:id="2114395669">
              <w:marLeft w:val="0"/>
              <w:marRight w:val="0"/>
              <w:marTop w:val="0"/>
              <w:marBottom w:val="0"/>
              <w:divBdr>
                <w:top w:val="none" w:sz="0" w:space="0" w:color="auto"/>
                <w:left w:val="none" w:sz="0" w:space="0" w:color="auto"/>
                <w:bottom w:val="none" w:sz="0" w:space="0" w:color="auto"/>
                <w:right w:val="none" w:sz="0" w:space="0" w:color="auto"/>
              </w:divBdr>
            </w:div>
            <w:div w:id="517892937">
              <w:marLeft w:val="0"/>
              <w:marRight w:val="0"/>
              <w:marTop w:val="0"/>
              <w:marBottom w:val="0"/>
              <w:divBdr>
                <w:top w:val="none" w:sz="0" w:space="0" w:color="auto"/>
                <w:left w:val="none" w:sz="0" w:space="0" w:color="auto"/>
                <w:bottom w:val="none" w:sz="0" w:space="0" w:color="auto"/>
                <w:right w:val="none" w:sz="0" w:space="0" w:color="auto"/>
              </w:divBdr>
            </w:div>
            <w:div w:id="1731608252">
              <w:marLeft w:val="0"/>
              <w:marRight w:val="0"/>
              <w:marTop w:val="0"/>
              <w:marBottom w:val="0"/>
              <w:divBdr>
                <w:top w:val="none" w:sz="0" w:space="0" w:color="auto"/>
                <w:left w:val="none" w:sz="0" w:space="0" w:color="auto"/>
                <w:bottom w:val="none" w:sz="0" w:space="0" w:color="auto"/>
                <w:right w:val="none" w:sz="0" w:space="0" w:color="auto"/>
              </w:divBdr>
            </w:div>
            <w:div w:id="1446577866">
              <w:marLeft w:val="0"/>
              <w:marRight w:val="0"/>
              <w:marTop w:val="0"/>
              <w:marBottom w:val="0"/>
              <w:divBdr>
                <w:top w:val="none" w:sz="0" w:space="0" w:color="auto"/>
                <w:left w:val="none" w:sz="0" w:space="0" w:color="auto"/>
                <w:bottom w:val="none" w:sz="0" w:space="0" w:color="auto"/>
                <w:right w:val="none" w:sz="0" w:space="0" w:color="auto"/>
              </w:divBdr>
            </w:div>
            <w:div w:id="2035887306">
              <w:marLeft w:val="0"/>
              <w:marRight w:val="0"/>
              <w:marTop w:val="0"/>
              <w:marBottom w:val="0"/>
              <w:divBdr>
                <w:top w:val="none" w:sz="0" w:space="0" w:color="auto"/>
                <w:left w:val="none" w:sz="0" w:space="0" w:color="auto"/>
                <w:bottom w:val="none" w:sz="0" w:space="0" w:color="auto"/>
                <w:right w:val="none" w:sz="0" w:space="0" w:color="auto"/>
              </w:divBdr>
            </w:div>
            <w:div w:id="1546212270">
              <w:marLeft w:val="0"/>
              <w:marRight w:val="0"/>
              <w:marTop w:val="0"/>
              <w:marBottom w:val="0"/>
              <w:divBdr>
                <w:top w:val="none" w:sz="0" w:space="0" w:color="auto"/>
                <w:left w:val="none" w:sz="0" w:space="0" w:color="auto"/>
                <w:bottom w:val="none" w:sz="0" w:space="0" w:color="auto"/>
                <w:right w:val="none" w:sz="0" w:space="0" w:color="auto"/>
              </w:divBdr>
            </w:div>
            <w:div w:id="1362778505">
              <w:marLeft w:val="0"/>
              <w:marRight w:val="0"/>
              <w:marTop w:val="0"/>
              <w:marBottom w:val="0"/>
              <w:divBdr>
                <w:top w:val="none" w:sz="0" w:space="0" w:color="auto"/>
                <w:left w:val="none" w:sz="0" w:space="0" w:color="auto"/>
                <w:bottom w:val="none" w:sz="0" w:space="0" w:color="auto"/>
                <w:right w:val="none" w:sz="0" w:space="0" w:color="auto"/>
              </w:divBdr>
            </w:div>
            <w:div w:id="2079477972">
              <w:marLeft w:val="0"/>
              <w:marRight w:val="0"/>
              <w:marTop w:val="0"/>
              <w:marBottom w:val="0"/>
              <w:divBdr>
                <w:top w:val="none" w:sz="0" w:space="0" w:color="auto"/>
                <w:left w:val="none" w:sz="0" w:space="0" w:color="auto"/>
                <w:bottom w:val="none" w:sz="0" w:space="0" w:color="auto"/>
                <w:right w:val="none" w:sz="0" w:space="0" w:color="auto"/>
              </w:divBdr>
            </w:div>
            <w:div w:id="1689334828">
              <w:marLeft w:val="0"/>
              <w:marRight w:val="0"/>
              <w:marTop w:val="0"/>
              <w:marBottom w:val="0"/>
              <w:divBdr>
                <w:top w:val="none" w:sz="0" w:space="0" w:color="auto"/>
                <w:left w:val="none" w:sz="0" w:space="0" w:color="auto"/>
                <w:bottom w:val="none" w:sz="0" w:space="0" w:color="auto"/>
                <w:right w:val="none" w:sz="0" w:space="0" w:color="auto"/>
              </w:divBdr>
            </w:div>
            <w:div w:id="634140116">
              <w:marLeft w:val="0"/>
              <w:marRight w:val="0"/>
              <w:marTop w:val="0"/>
              <w:marBottom w:val="0"/>
              <w:divBdr>
                <w:top w:val="none" w:sz="0" w:space="0" w:color="auto"/>
                <w:left w:val="none" w:sz="0" w:space="0" w:color="auto"/>
                <w:bottom w:val="none" w:sz="0" w:space="0" w:color="auto"/>
                <w:right w:val="none" w:sz="0" w:space="0" w:color="auto"/>
              </w:divBdr>
            </w:div>
            <w:div w:id="723144372">
              <w:marLeft w:val="0"/>
              <w:marRight w:val="0"/>
              <w:marTop w:val="0"/>
              <w:marBottom w:val="0"/>
              <w:divBdr>
                <w:top w:val="none" w:sz="0" w:space="0" w:color="auto"/>
                <w:left w:val="none" w:sz="0" w:space="0" w:color="auto"/>
                <w:bottom w:val="none" w:sz="0" w:space="0" w:color="auto"/>
                <w:right w:val="none" w:sz="0" w:space="0" w:color="auto"/>
              </w:divBdr>
            </w:div>
            <w:div w:id="2047607197">
              <w:marLeft w:val="0"/>
              <w:marRight w:val="0"/>
              <w:marTop w:val="0"/>
              <w:marBottom w:val="0"/>
              <w:divBdr>
                <w:top w:val="none" w:sz="0" w:space="0" w:color="auto"/>
                <w:left w:val="none" w:sz="0" w:space="0" w:color="auto"/>
                <w:bottom w:val="none" w:sz="0" w:space="0" w:color="auto"/>
                <w:right w:val="none" w:sz="0" w:space="0" w:color="auto"/>
              </w:divBdr>
            </w:div>
            <w:div w:id="1979677915">
              <w:marLeft w:val="0"/>
              <w:marRight w:val="0"/>
              <w:marTop w:val="0"/>
              <w:marBottom w:val="0"/>
              <w:divBdr>
                <w:top w:val="none" w:sz="0" w:space="0" w:color="auto"/>
                <w:left w:val="none" w:sz="0" w:space="0" w:color="auto"/>
                <w:bottom w:val="none" w:sz="0" w:space="0" w:color="auto"/>
                <w:right w:val="none" w:sz="0" w:space="0" w:color="auto"/>
              </w:divBdr>
            </w:div>
            <w:div w:id="266470349">
              <w:marLeft w:val="0"/>
              <w:marRight w:val="0"/>
              <w:marTop w:val="0"/>
              <w:marBottom w:val="0"/>
              <w:divBdr>
                <w:top w:val="none" w:sz="0" w:space="0" w:color="auto"/>
                <w:left w:val="none" w:sz="0" w:space="0" w:color="auto"/>
                <w:bottom w:val="none" w:sz="0" w:space="0" w:color="auto"/>
                <w:right w:val="none" w:sz="0" w:space="0" w:color="auto"/>
              </w:divBdr>
            </w:div>
            <w:div w:id="1188065237">
              <w:marLeft w:val="0"/>
              <w:marRight w:val="0"/>
              <w:marTop w:val="0"/>
              <w:marBottom w:val="0"/>
              <w:divBdr>
                <w:top w:val="none" w:sz="0" w:space="0" w:color="auto"/>
                <w:left w:val="none" w:sz="0" w:space="0" w:color="auto"/>
                <w:bottom w:val="none" w:sz="0" w:space="0" w:color="auto"/>
                <w:right w:val="none" w:sz="0" w:space="0" w:color="auto"/>
              </w:divBdr>
            </w:div>
            <w:div w:id="1579291988">
              <w:marLeft w:val="0"/>
              <w:marRight w:val="0"/>
              <w:marTop w:val="0"/>
              <w:marBottom w:val="0"/>
              <w:divBdr>
                <w:top w:val="none" w:sz="0" w:space="0" w:color="auto"/>
                <w:left w:val="none" w:sz="0" w:space="0" w:color="auto"/>
                <w:bottom w:val="none" w:sz="0" w:space="0" w:color="auto"/>
                <w:right w:val="none" w:sz="0" w:space="0" w:color="auto"/>
              </w:divBdr>
            </w:div>
            <w:div w:id="118790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2936</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ws15</dc:creator>
  <cp:keywords/>
  <dc:description/>
  <cp:lastModifiedBy>ws15</cp:lastModifiedBy>
  <cp:revision>2</cp:revision>
  <dcterms:created xsi:type="dcterms:W3CDTF">2025-06-26T08:17:00Z</dcterms:created>
  <dcterms:modified xsi:type="dcterms:W3CDTF">2025-06-26T08:17:00Z</dcterms:modified>
</cp:coreProperties>
</file>